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1FD" w:rsidRDefault="007251FD" w:rsidP="007251FD">
      <w:pPr>
        <w:spacing w:after="0" w:line="240" w:lineRule="auto"/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3019647" cy="839972"/>
            <wp:effectExtent l="0" t="0" r="0" b="0"/>
            <wp:docPr id="1" name="Picture 1" descr="cid:image002.jpg@01CFD295.0FFE55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2.jpg@01CFD295.0FFE554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83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51FD">
        <w:t xml:space="preserve"> </w:t>
      </w:r>
    </w:p>
    <w:p w:rsidR="00725D10" w:rsidRDefault="00725D10" w:rsidP="007251FD">
      <w:pPr>
        <w:jc w:val="center"/>
      </w:pPr>
    </w:p>
    <w:p w:rsidR="007251FD" w:rsidRPr="007251FD" w:rsidRDefault="008951B7" w:rsidP="007251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DHHS Housing Information Session 2015</w:t>
      </w:r>
      <w:r w:rsidR="007251FD" w:rsidRPr="007251FD">
        <w:rPr>
          <w:b/>
          <w:sz w:val="32"/>
          <w:szCs w:val="32"/>
        </w:rPr>
        <w:t>:</w:t>
      </w:r>
    </w:p>
    <w:p w:rsidR="007251FD" w:rsidRPr="007251FD" w:rsidRDefault="007251FD" w:rsidP="007251FD">
      <w:pPr>
        <w:jc w:val="center"/>
        <w:rPr>
          <w:b/>
          <w:sz w:val="32"/>
          <w:szCs w:val="32"/>
        </w:rPr>
      </w:pPr>
      <w:r w:rsidRPr="007251FD">
        <w:rPr>
          <w:b/>
          <w:sz w:val="32"/>
          <w:szCs w:val="32"/>
        </w:rPr>
        <w:t>Information Sheet</w:t>
      </w:r>
    </w:p>
    <w:p w:rsidR="007251FD" w:rsidRDefault="007251FD" w:rsidP="007251FD">
      <w:pPr>
        <w:jc w:val="center"/>
      </w:pPr>
    </w:p>
    <w:p w:rsidR="007251FD" w:rsidRDefault="007251FD" w:rsidP="008951B7">
      <w:pPr>
        <w:jc w:val="both"/>
      </w:pPr>
      <w:r>
        <w:t xml:space="preserve">The Department of </w:t>
      </w:r>
      <w:r w:rsidR="006740C2">
        <w:t xml:space="preserve">Health and </w:t>
      </w:r>
      <w:r>
        <w:t xml:space="preserve">Human Services </w:t>
      </w:r>
      <w:r w:rsidR="006740C2">
        <w:t xml:space="preserve">(DHHS) </w:t>
      </w:r>
      <w:r w:rsidR="008951B7">
        <w:t xml:space="preserve">provided an information session for the Western LASN on: </w:t>
      </w:r>
    </w:p>
    <w:p w:rsidR="008951B7" w:rsidRDefault="008951B7" w:rsidP="008951B7">
      <w:pPr>
        <w:pStyle w:val="ListParagraph"/>
        <w:numPr>
          <w:ilvl w:val="0"/>
          <w:numId w:val="5"/>
        </w:numPr>
        <w:jc w:val="both"/>
      </w:pPr>
      <w:r>
        <w:t>New Public Housing application forms;</w:t>
      </w:r>
    </w:p>
    <w:p w:rsidR="008951B7" w:rsidRDefault="008951B7" w:rsidP="008951B7">
      <w:pPr>
        <w:pStyle w:val="ListParagraph"/>
        <w:numPr>
          <w:ilvl w:val="0"/>
          <w:numId w:val="5"/>
        </w:numPr>
        <w:jc w:val="both"/>
      </w:pPr>
      <w:r>
        <w:t>New Housing website</w:t>
      </w:r>
    </w:p>
    <w:p w:rsidR="008951B7" w:rsidRPr="00E82E73" w:rsidRDefault="008951B7" w:rsidP="008951B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Housing application forms</w:t>
      </w:r>
    </w:p>
    <w:p w:rsidR="008951B7" w:rsidRDefault="008951B7" w:rsidP="008951B7">
      <w:pPr>
        <w:spacing w:before="240" w:after="60"/>
        <w:jc w:val="both"/>
      </w:pPr>
    </w:p>
    <w:p w:rsidR="00184791" w:rsidRPr="00970980" w:rsidRDefault="00184791" w:rsidP="00E82D99">
      <w:pPr>
        <w:spacing w:after="60"/>
        <w:jc w:val="both"/>
        <w:rPr>
          <w:color w:val="92D050"/>
          <w:sz w:val="28"/>
          <w:szCs w:val="28"/>
        </w:rPr>
      </w:pPr>
      <w:r w:rsidRPr="00970980">
        <w:rPr>
          <w:b/>
          <w:i/>
          <w:color w:val="92D050"/>
          <w:sz w:val="28"/>
          <w:szCs w:val="28"/>
        </w:rPr>
        <w:t>Key changes</w:t>
      </w:r>
      <w:r w:rsidRPr="00970980">
        <w:rPr>
          <w:color w:val="92D050"/>
          <w:sz w:val="28"/>
          <w:szCs w:val="28"/>
        </w:rPr>
        <w:t>:</w:t>
      </w:r>
    </w:p>
    <w:p w:rsidR="004A08AA" w:rsidRDefault="004A08AA" w:rsidP="002F609A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jc w:val="both"/>
      </w:pPr>
      <w:r>
        <w:t>Separate forms for different client circumstances were introduced in 2014.</w:t>
      </w:r>
    </w:p>
    <w:p w:rsidR="004307CD" w:rsidRDefault="008951B7" w:rsidP="002F609A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jc w:val="both"/>
      </w:pPr>
      <w:r>
        <w:t>Forms have been simplified following consumer consultation.</w:t>
      </w:r>
      <w:r w:rsidR="000E78F9">
        <w:t xml:space="preserve"> </w:t>
      </w:r>
    </w:p>
    <w:p w:rsidR="004307CD" w:rsidRDefault="004307CD" w:rsidP="002F609A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jc w:val="both"/>
      </w:pPr>
      <w:r>
        <w:t xml:space="preserve">The changes build on the streamlined arrangements for the Home with Support Category that were introduced between 2010 and 2012.  </w:t>
      </w:r>
    </w:p>
    <w:p w:rsidR="004307CD" w:rsidRDefault="004307CD" w:rsidP="004307CD">
      <w:pPr>
        <w:pStyle w:val="ListParagraph"/>
        <w:numPr>
          <w:ilvl w:val="1"/>
          <w:numId w:val="3"/>
        </w:numPr>
        <w:spacing w:before="120" w:after="0"/>
        <w:contextualSpacing w:val="0"/>
        <w:jc w:val="both"/>
      </w:pPr>
      <w:r>
        <w:t>Under the 2010-12 changes:</w:t>
      </w:r>
    </w:p>
    <w:p w:rsidR="004307CD" w:rsidRDefault="004307CD" w:rsidP="004307CD">
      <w:pPr>
        <w:pStyle w:val="ListParagraph"/>
        <w:numPr>
          <w:ilvl w:val="2"/>
          <w:numId w:val="3"/>
        </w:numPr>
        <w:spacing w:before="120" w:after="0"/>
        <w:contextualSpacing w:val="0"/>
        <w:jc w:val="both"/>
      </w:pPr>
      <w:r>
        <w:t xml:space="preserve"> The Homeless with Support category replaced the Recurring Homelessness segment of the public housing waiting list.</w:t>
      </w:r>
    </w:p>
    <w:p w:rsidR="004307CD" w:rsidRDefault="00760C9B" w:rsidP="004307CD">
      <w:pPr>
        <w:pStyle w:val="ListParagraph"/>
        <w:numPr>
          <w:ilvl w:val="2"/>
          <w:numId w:val="3"/>
        </w:numPr>
        <w:spacing w:before="120" w:after="0"/>
        <w:contextualSpacing w:val="0"/>
        <w:jc w:val="both"/>
      </w:pPr>
      <w:r>
        <w:t>Case managers assess</w:t>
      </w:r>
      <w:r w:rsidR="004307CD">
        <w:t xml:space="preserve"> whether an individual or household are eligible to submit a </w:t>
      </w:r>
      <w:r w:rsidR="004307CD" w:rsidRPr="004307CD">
        <w:rPr>
          <w:i/>
        </w:rPr>
        <w:t>Homeless with Support</w:t>
      </w:r>
      <w:r w:rsidR="004307CD">
        <w:t xml:space="preserve"> application.</w:t>
      </w:r>
    </w:p>
    <w:p w:rsidR="004307CD" w:rsidRDefault="004307CD" w:rsidP="004307CD">
      <w:pPr>
        <w:pStyle w:val="ListParagraph"/>
        <w:numPr>
          <w:ilvl w:val="2"/>
          <w:numId w:val="3"/>
        </w:numPr>
        <w:spacing w:before="120" w:after="0"/>
        <w:contextualSpacing w:val="0"/>
        <w:jc w:val="both"/>
      </w:pPr>
      <w:r>
        <w:t>Applications are now lodged directly by support providers, rather than through a Transitional Housing Management service, and regional panels no longer consider these applications.</w:t>
      </w:r>
    </w:p>
    <w:p w:rsidR="004307CD" w:rsidRDefault="004307CD" w:rsidP="004307CD">
      <w:pPr>
        <w:pStyle w:val="ListParagraph"/>
        <w:numPr>
          <w:ilvl w:val="2"/>
          <w:numId w:val="3"/>
        </w:numPr>
        <w:spacing w:before="120" w:after="0"/>
        <w:contextualSpacing w:val="0"/>
        <w:jc w:val="both"/>
      </w:pPr>
      <w:r>
        <w:t>Case managers no longer have to submit a case plan.</w:t>
      </w:r>
    </w:p>
    <w:p w:rsidR="00E86325" w:rsidRDefault="00E86325" w:rsidP="00E86325">
      <w:pPr>
        <w:spacing w:before="240" w:after="60"/>
        <w:jc w:val="both"/>
      </w:pPr>
      <w:r w:rsidRPr="00E86325">
        <w:rPr>
          <w:i/>
        </w:rPr>
        <w:t>Homeless with Support</w:t>
      </w:r>
      <w:r>
        <w:t xml:space="preserve"> application forms are only available online: </w:t>
      </w:r>
      <w:hyperlink r:id="rId9" w:history="1">
        <w:r w:rsidRPr="008951B7">
          <w:rPr>
            <w:rStyle w:val="Hyperlink"/>
          </w:rPr>
          <w:t>http://www.housing.vic.gov.au/forms-guides</w:t>
        </w:r>
      </w:hyperlink>
      <w:r>
        <w:t>.</w:t>
      </w:r>
    </w:p>
    <w:p w:rsidR="006740C2" w:rsidRDefault="006740C2" w:rsidP="006740C2">
      <w:pPr>
        <w:spacing w:before="120" w:after="0"/>
        <w:ind w:left="357"/>
        <w:jc w:val="both"/>
      </w:pPr>
    </w:p>
    <w:p w:rsidR="00184791" w:rsidRPr="00970980" w:rsidRDefault="008951B7" w:rsidP="00E82D99">
      <w:pPr>
        <w:spacing w:after="60"/>
        <w:jc w:val="both"/>
        <w:rPr>
          <w:b/>
          <w:i/>
          <w:color w:val="92D050"/>
          <w:sz w:val="28"/>
          <w:szCs w:val="28"/>
        </w:rPr>
      </w:pPr>
      <w:r>
        <w:rPr>
          <w:b/>
          <w:i/>
          <w:color w:val="92D050"/>
          <w:sz w:val="28"/>
          <w:szCs w:val="28"/>
        </w:rPr>
        <w:t>Context</w:t>
      </w:r>
      <w:r w:rsidR="00184791" w:rsidRPr="00970980">
        <w:rPr>
          <w:b/>
          <w:i/>
          <w:color w:val="92D050"/>
          <w:sz w:val="28"/>
          <w:szCs w:val="28"/>
        </w:rPr>
        <w:t>:</w:t>
      </w:r>
    </w:p>
    <w:p w:rsidR="000E78F9" w:rsidRDefault="004A08AA" w:rsidP="00184791">
      <w:pPr>
        <w:pStyle w:val="ListParagraph"/>
        <w:numPr>
          <w:ilvl w:val="0"/>
          <w:numId w:val="1"/>
        </w:numPr>
        <w:jc w:val="both"/>
      </w:pPr>
      <w:r>
        <w:t xml:space="preserve">Around </w:t>
      </w:r>
      <w:r w:rsidR="008951B7">
        <w:t>4,500 public housing applicants are housed each year</w:t>
      </w:r>
      <w:r>
        <w:t xml:space="preserve">. There are around </w:t>
      </w:r>
      <w:r w:rsidR="008951B7">
        <w:t xml:space="preserve">3,000 </w:t>
      </w:r>
      <w:r>
        <w:t xml:space="preserve">applications under the Homeless with Support segment, while </w:t>
      </w:r>
      <w:r w:rsidR="008951B7">
        <w:t xml:space="preserve">25% of stock is targeted to people who are elderly.  Stock for single people </w:t>
      </w:r>
      <w:r w:rsidR="001F1B87">
        <w:t xml:space="preserve">under 55 years of age </w:t>
      </w:r>
      <w:r w:rsidR="008951B7">
        <w:t>is limited.</w:t>
      </w:r>
      <w:r w:rsidR="006740C2">
        <w:tab/>
      </w:r>
      <w:r w:rsidR="000E78F9">
        <w:br/>
      </w:r>
    </w:p>
    <w:p w:rsidR="00184791" w:rsidRDefault="000E78F9" w:rsidP="00184791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Turnover of public housing stock has slowed </w:t>
      </w:r>
      <w:r w:rsidR="001F1B87">
        <w:t>over the past ten years</w:t>
      </w:r>
      <w:r>
        <w:t xml:space="preserve"> </w:t>
      </w:r>
      <w:r w:rsidR="001F1B87">
        <w:t xml:space="preserve">for a range of factors. </w:t>
      </w:r>
    </w:p>
    <w:p w:rsidR="001F1B87" w:rsidRDefault="001F1B87" w:rsidP="001F1B87">
      <w:pPr>
        <w:pStyle w:val="ListParagraph"/>
        <w:jc w:val="both"/>
      </w:pPr>
    </w:p>
    <w:p w:rsidR="008951B7" w:rsidRDefault="001F1B87" w:rsidP="006740C2">
      <w:pPr>
        <w:pStyle w:val="ListParagraph"/>
        <w:numPr>
          <w:ilvl w:val="0"/>
          <w:numId w:val="1"/>
        </w:numPr>
        <w:spacing w:before="240"/>
        <w:jc w:val="both"/>
      </w:pPr>
      <w:r>
        <w:t xml:space="preserve">The </w:t>
      </w:r>
      <w:r w:rsidR="008951B7">
        <w:t>number of ‘hard to let’ properties</w:t>
      </w:r>
      <w:r>
        <w:t xml:space="preserve"> has decreased significantly through asset renewal approaches</w:t>
      </w:r>
      <w:r w:rsidR="008951B7">
        <w:t>.  These properties are now referred to as ‘Limited demand properties’</w:t>
      </w:r>
      <w:r w:rsidR="006740C2">
        <w:t>.</w:t>
      </w:r>
      <w:r w:rsidR="006740C2">
        <w:tab/>
      </w:r>
      <w:r w:rsidR="006740C2">
        <w:br/>
      </w:r>
    </w:p>
    <w:p w:rsidR="006740C2" w:rsidRDefault="006740C2" w:rsidP="006740C2">
      <w:pPr>
        <w:pStyle w:val="ListParagraph"/>
        <w:numPr>
          <w:ilvl w:val="0"/>
          <w:numId w:val="1"/>
        </w:numPr>
        <w:spacing w:before="240"/>
        <w:jc w:val="both"/>
      </w:pPr>
      <w:r>
        <w:t xml:space="preserve">Moveable units </w:t>
      </w:r>
      <w:r w:rsidR="001F1B87">
        <w:t>may</w:t>
      </w:r>
      <w:r>
        <w:t xml:space="preserve"> now </w:t>
      </w:r>
      <w:r w:rsidR="001F1B87">
        <w:t xml:space="preserve">be </w:t>
      </w:r>
      <w:r>
        <w:t xml:space="preserve">an option for 12 – 25 year olds: </w:t>
      </w:r>
      <w:hyperlink r:id="rId10" w:history="1">
        <w:r w:rsidRPr="006740C2">
          <w:rPr>
            <w:rStyle w:val="Hyperlink"/>
          </w:rPr>
          <w:t>http://www.housing.vic.gov.au/movable-units</w:t>
        </w:r>
      </w:hyperlink>
      <w:r w:rsidR="000E78F9">
        <w:br/>
      </w:r>
    </w:p>
    <w:p w:rsidR="000E78F9" w:rsidRDefault="001F1B87" w:rsidP="000E78F9">
      <w:pPr>
        <w:pStyle w:val="ListParagraph"/>
        <w:numPr>
          <w:ilvl w:val="0"/>
          <w:numId w:val="1"/>
        </w:numPr>
        <w:spacing w:before="240"/>
        <w:jc w:val="both"/>
      </w:pPr>
      <w:r>
        <w:t>On the basis of 30,000 households being assisted through homelessness services, a</w:t>
      </w:r>
      <w:r w:rsidR="000E78F9">
        <w:t>bout 10% of those people assisted by the homelessness service system will be housed in public housing</w:t>
      </w:r>
      <w:r>
        <w:t>, emphasising the importance of looking at the full range of housing options</w:t>
      </w:r>
      <w:r w:rsidR="000E78F9">
        <w:t>.</w:t>
      </w:r>
    </w:p>
    <w:p w:rsidR="006740C2" w:rsidRDefault="006740C2" w:rsidP="006740C2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="60"/>
        <w:jc w:val="both"/>
      </w:pPr>
      <w:r>
        <w:rPr>
          <w:b/>
          <w:i/>
          <w:color w:val="92D050"/>
          <w:sz w:val="32"/>
          <w:szCs w:val="32"/>
        </w:rPr>
        <w:t>Tips on assisting clients with applications for public housing</w:t>
      </w:r>
      <w:r>
        <w:rPr>
          <w:b/>
          <w:i/>
          <w:color w:val="92D050"/>
          <w:sz w:val="32"/>
          <w:szCs w:val="32"/>
        </w:rPr>
        <w:br/>
      </w:r>
      <w:r w:rsidRPr="000E78F9">
        <w:rPr>
          <w:b/>
          <w:i/>
          <w:color w:val="92D050"/>
          <w:sz w:val="16"/>
          <w:szCs w:val="16"/>
        </w:rPr>
        <w:br/>
      </w:r>
      <w:r w:rsidR="000E78F9">
        <w:rPr>
          <w:i/>
        </w:rPr>
        <w:t>Homeless with S</w:t>
      </w:r>
      <w:r w:rsidRPr="006740C2">
        <w:rPr>
          <w:i/>
        </w:rPr>
        <w:t>upport</w:t>
      </w:r>
      <w:r>
        <w:t xml:space="preserve"> applications can be completed by anyone providing case managed support to an individual or household</w:t>
      </w:r>
      <w:r w:rsidR="000E78F9">
        <w:t xml:space="preserve"> – not just homelessness support workers</w:t>
      </w:r>
      <w:r>
        <w:t xml:space="preserve">.  Agencies submit to DHHS for an EPRIN number and then email DHHS seeking approval to assess clients for eligibility for a </w:t>
      </w:r>
      <w:r w:rsidR="000E78F9">
        <w:rPr>
          <w:i/>
        </w:rPr>
        <w:t>Homeless with S</w:t>
      </w:r>
      <w:r w:rsidRPr="006740C2">
        <w:rPr>
          <w:i/>
        </w:rPr>
        <w:t>upport</w:t>
      </w:r>
      <w:r>
        <w:t xml:space="preserve"> application.</w:t>
      </w:r>
      <w:r w:rsidR="000E78F9">
        <w:tab/>
      </w:r>
      <w:r w:rsidR="00E86325">
        <w:t>90,000 organisations already have EPRIN numbers.</w:t>
      </w:r>
      <w:r>
        <w:br/>
      </w:r>
      <w:r>
        <w:br/>
        <w:t xml:space="preserve">Support providers who have assessed that a client meets the eligibility </w:t>
      </w:r>
      <w:r w:rsidR="000E78F9">
        <w:t xml:space="preserve">for </w:t>
      </w:r>
      <w:r w:rsidR="000E78F9" w:rsidRPr="000E78F9">
        <w:rPr>
          <w:i/>
        </w:rPr>
        <w:t>Homeless with S</w:t>
      </w:r>
      <w:r w:rsidRPr="000E78F9">
        <w:rPr>
          <w:i/>
        </w:rPr>
        <w:t>upport</w:t>
      </w:r>
      <w:r>
        <w:t xml:space="preserve"> can submit a public housing application directly with the client.  Sign off is required by the Manager of the program.  This is the highest category in the Segmented Waiting List.</w:t>
      </w:r>
      <w:r w:rsidR="000E78F9">
        <w:br/>
        <w:t>Homeless with Support applications will be backdated to the date case managed support first commenced. DHHS will provide advice on whether this includes provision of IR 2 assistance.</w:t>
      </w:r>
    </w:p>
    <w:p w:rsidR="001F1B87" w:rsidRDefault="001F1B87" w:rsidP="006740C2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="60"/>
        <w:jc w:val="both"/>
      </w:pPr>
    </w:p>
    <w:p w:rsidR="00E86325" w:rsidRDefault="006740C2" w:rsidP="006740C2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="60"/>
        <w:jc w:val="both"/>
      </w:pPr>
      <w:r>
        <w:t xml:space="preserve">IA&amp;P workers can assist eligible clients to complete a </w:t>
      </w:r>
      <w:r w:rsidR="000E78F9" w:rsidRPr="000E78F9">
        <w:rPr>
          <w:i/>
        </w:rPr>
        <w:t>Special Housing Needs</w:t>
      </w:r>
      <w:r w:rsidR="000E78F9">
        <w:t xml:space="preserve"> application.  The application can be upgraded to a </w:t>
      </w:r>
      <w:r w:rsidR="000E78F9" w:rsidRPr="000E78F9">
        <w:rPr>
          <w:i/>
        </w:rPr>
        <w:t>Homeless with Support</w:t>
      </w:r>
      <w:r w:rsidR="000E78F9">
        <w:t xml:space="preserve"> application once the client is receiving case managed support.</w:t>
      </w:r>
      <w:r w:rsidR="000E78F9">
        <w:tab/>
      </w:r>
    </w:p>
    <w:p w:rsidR="001F1B87" w:rsidRDefault="001F1B87" w:rsidP="006740C2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="60"/>
        <w:jc w:val="both"/>
      </w:pPr>
    </w:p>
    <w:p w:rsidR="000E78F9" w:rsidRDefault="00E86325" w:rsidP="006740C2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="60"/>
        <w:jc w:val="both"/>
      </w:pPr>
      <w:r>
        <w:t xml:space="preserve">It will be beneficial for some individuals/households if the IA&amp;P service provides short covering information in support of a </w:t>
      </w:r>
      <w:r w:rsidRPr="00E86325">
        <w:rPr>
          <w:i/>
        </w:rPr>
        <w:t>Special Housing Needs</w:t>
      </w:r>
      <w:r>
        <w:t xml:space="preserve"> application.</w:t>
      </w:r>
      <w:r>
        <w:tab/>
      </w:r>
      <w:r w:rsidR="000E78F9">
        <w:br/>
        <w:t>Ensure that DHHS is aware of any changes in an individual or household’s circumstances</w:t>
      </w:r>
      <w:r w:rsidR="000E78F9">
        <w:tab/>
        <w:t>, particularly changes to contact details and changes to household size.</w:t>
      </w:r>
      <w:r w:rsidR="000E78F9">
        <w:tab/>
      </w:r>
    </w:p>
    <w:p w:rsidR="000E78F9" w:rsidRDefault="000E78F9" w:rsidP="006740C2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="60"/>
        <w:jc w:val="both"/>
      </w:pPr>
    </w:p>
    <w:p w:rsidR="006740C2" w:rsidRPr="006740C2" w:rsidRDefault="000E78F9" w:rsidP="006740C2">
      <w:pPr>
        <w:pBdr>
          <w:top w:val="thinThickLargeGap" w:sz="24" w:space="1" w:color="auto"/>
          <w:left w:val="thinThickLargeGap" w:sz="24" w:space="4" w:color="auto"/>
          <w:bottom w:val="thickThinLargeGap" w:sz="24" w:space="1" w:color="auto"/>
          <w:right w:val="thickThinLargeGap" w:sz="24" w:space="4" w:color="auto"/>
        </w:pBdr>
        <w:shd w:val="clear" w:color="auto" w:fill="D9D9D9" w:themeFill="background1" w:themeFillShade="D9"/>
        <w:spacing w:after="60"/>
        <w:jc w:val="both"/>
        <w:rPr>
          <w:b/>
          <w:i/>
          <w:color w:val="92D050"/>
          <w:sz w:val="32"/>
          <w:szCs w:val="32"/>
        </w:rPr>
      </w:pPr>
      <w:r>
        <w:t xml:space="preserve">Individuals/households who have an existing public housing application can upgrade their application </w:t>
      </w:r>
      <w:r w:rsidR="00E86325">
        <w:t xml:space="preserve">by completing an </w:t>
      </w:r>
      <w:r w:rsidR="00E86325" w:rsidRPr="00E86325">
        <w:rPr>
          <w:i/>
        </w:rPr>
        <w:t>Early Housing Supplement.</w:t>
      </w:r>
      <w:r w:rsidR="00E86325" w:rsidRPr="00E86325">
        <w:rPr>
          <w:i/>
        </w:rPr>
        <w:tab/>
      </w:r>
      <w:r>
        <w:br/>
      </w:r>
      <w:r>
        <w:br/>
        <w:t xml:space="preserve">Clients can complete an Early Housing Supplement but Section L must be signed by an Access Point Service.  Access Point Services should only complete Section L for individuals/households who they are assisting. </w:t>
      </w:r>
      <w:r>
        <w:tab/>
      </w:r>
      <w:r w:rsidR="00E86325">
        <w:br/>
      </w:r>
      <w:r w:rsidR="00E86325">
        <w:br/>
        <w:t>Young people who are under 18 who have an income and are in a couple, will be assessed as an independent adult, rather than an accompanying child.</w:t>
      </w:r>
      <w:r w:rsidR="00E86325">
        <w:tab/>
      </w:r>
      <w:r>
        <w:br/>
      </w:r>
      <w:r>
        <w:br/>
      </w:r>
    </w:p>
    <w:p w:rsidR="007251FD" w:rsidRDefault="007251FD" w:rsidP="007251FD">
      <w:pPr>
        <w:jc w:val="both"/>
      </w:pPr>
    </w:p>
    <w:p w:rsidR="00E86325" w:rsidRDefault="00E86325" w:rsidP="000E78F9">
      <w:pPr>
        <w:jc w:val="center"/>
        <w:rPr>
          <w:b/>
          <w:sz w:val="32"/>
          <w:szCs w:val="32"/>
          <w:u w:val="single"/>
        </w:rPr>
      </w:pPr>
    </w:p>
    <w:p w:rsidR="000E78F9" w:rsidRPr="00E82E73" w:rsidRDefault="000E78F9" w:rsidP="000E78F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Housing website</w:t>
      </w:r>
    </w:p>
    <w:p w:rsidR="000E78F9" w:rsidRDefault="000E78F9" w:rsidP="000E78F9">
      <w:pPr>
        <w:spacing w:after="60"/>
        <w:jc w:val="both"/>
      </w:pPr>
      <w:r>
        <w:t xml:space="preserve">The new Housing web address is: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http://www.housing.vic.gov.au</w:t>
        </w:r>
      </w:hyperlink>
      <w:r>
        <w:rPr>
          <w:rFonts w:ascii="Arial" w:hAnsi="Arial" w:cs="Arial"/>
          <w:sz w:val="20"/>
          <w:szCs w:val="20"/>
        </w:rPr>
        <w:t xml:space="preserve">  </w:t>
      </w:r>
      <w:r>
        <w:t xml:space="preserve"> </w:t>
      </w:r>
    </w:p>
    <w:p w:rsidR="000E78F9" w:rsidRDefault="000E78F9" w:rsidP="000E78F9">
      <w:pPr>
        <w:spacing w:before="240" w:after="60"/>
        <w:jc w:val="both"/>
      </w:pPr>
      <w:r>
        <w:t xml:space="preserve">This website </w:t>
      </w:r>
      <w:r w:rsidR="00E86325">
        <w:t xml:space="preserve">can be accessed on a tablet or mobile phone and </w:t>
      </w:r>
      <w:r>
        <w:t xml:space="preserve">has been developed in plain English and covers information about a range of tenancy types. </w:t>
      </w:r>
    </w:p>
    <w:p w:rsidR="000E78F9" w:rsidRDefault="000E78F9" w:rsidP="000E78F9">
      <w:pPr>
        <w:spacing w:before="240" w:after="60"/>
        <w:jc w:val="both"/>
      </w:pPr>
      <w:r>
        <w:t xml:space="preserve">The website provides an </w:t>
      </w:r>
      <w:r w:rsidRPr="008951B7">
        <w:rPr>
          <w:i/>
        </w:rPr>
        <w:t>Housing Options Finder</w:t>
      </w:r>
      <w:r>
        <w:t>.  The Finder asks some key questions about a person’s housing needs and then  provides information on the relevant housing options.  The Finder draws on up to date information about asset and income limits.</w:t>
      </w:r>
    </w:p>
    <w:p w:rsidR="000E78F9" w:rsidRDefault="000E78F9" w:rsidP="000E78F9">
      <w:pPr>
        <w:spacing w:before="240" w:after="60"/>
        <w:jc w:val="both"/>
      </w:pPr>
      <w:r>
        <w:t xml:space="preserve">The website includes one page information sheets in 10 community languages. </w:t>
      </w:r>
    </w:p>
    <w:p w:rsidR="000A59F2" w:rsidRDefault="000E78F9" w:rsidP="000E78F9">
      <w:pPr>
        <w:spacing w:before="240" w:after="60"/>
        <w:jc w:val="both"/>
      </w:pPr>
      <w:r>
        <w:t xml:space="preserve">Housing application forms can be found on the website at: </w:t>
      </w:r>
      <w:hyperlink r:id="rId12" w:history="1">
        <w:r w:rsidRPr="008951B7">
          <w:rPr>
            <w:rStyle w:val="Hyperlink"/>
          </w:rPr>
          <w:t>http://www.housing.vic.gov.au/forms-guides</w:t>
        </w:r>
      </w:hyperlink>
      <w:r>
        <w:t>.</w:t>
      </w:r>
    </w:p>
    <w:p w:rsidR="000A59F2" w:rsidRDefault="000A59F2" w:rsidP="000E78F9">
      <w:pPr>
        <w:spacing w:before="240" w:after="60"/>
        <w:jc w:val="both"/>
      </w:pPr>
      <w:r>
        <w:t xml:space="preserve">Housing Policy and Procedures Manuals can be found at: </w:t>
      </w:r>
    </w:p>
    <w:p w:rsidR="000A59F2" w:rsidRDefault="00D136EB" w:rsidP="000E78F9">
      <w:pPr>
        <w:spacing w:before="240" w:after="60"/>
        <w:jc w:val="both"/>
      </w:pPr>
      <w:hyperlink r:id="rId13" w:history="1">
        <w:r w:rsidR="000A59F2">
          <w:rPr>
            <w:rStyle w:val="Hyperlink"/>
            <w:rFonts w:ascii="Arial" w:hAnsi="Arial" w:cs="Arial"/>
            <w:sz w:val="20"/>
            <w:szCs w:val="20"/>
          </w:rPr>
          <w:t>www.dhs.vic.gov.au/for-service-providers/housing-and-homelessness/public-housing/public-housing-policy-and-procedure-manuals</w:t>
        </w:r>
      </w:hyperlink>
      <w:r w:rsidR="000A59F2">
        <w:t xml:space="preserve"> </w:t>
      </w:r>
      <w:r w:rsidR="000A59F2">
        <w:br/>
      </w:r>
    </w:p>
    <w:p w:rsidR="000E78F9" w:rsidRDefault="000E78F9" w:rsidP="007251FD">
      <w:pPr>
        <w:jc w:val="both"/>
      </w:pPr>
    </w:p>
    <w:sectPr w:rsidR="000E78F9" w:rsidSect="00970980">
      <w:footerReference w:type="default" r:id="rId14"/>
      <w:pgSz w:w="11906" w:h="16838"/>
      <w:pgMar w:top="851" w:right="1440" w:bottom="1135" w:left="1440" w:header="708" w:footer="0" w:gutter="0"/>
      <w:pgBorders w:offsetFrom="page">
        <w:top w:val="thinThickLargeGap" w:sz="24" w:space="10" w:color="auto"/>
        <w:left w:val="thinThickLargeGap" w:sz="24" w:space="10" w:color="auto"/>
        <w:bottom w:val="thickThinLargeGap" w:sz="24" w:space="10" w:color="auto"/>
        <w:right w:val="thickThinLargeGap" w:sz="24" w:space="1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EB" w:rsidRDefault="00D136EB" w:rsidP="00970980">
      <w:pPr>
        <w:spacing w:after="0" w:line="240" w:lineRule="auto"/>
      </w:pPr>
      <w:r>
        <w:separator/>
      </w:r>
    </w:p>
  </w:endnote>
  <w:endnote w:type="continuationSeparator" w:id="0">
    <w:p w:rsidR="00D136EB" w:rsidRDefault="00D136EB" w:rsidP="0097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58"/>
      <w:gridCol w:w="8284"/>
    </w:tblGrid>
    <w:tr w:rsidR="000E78F9" w:rsidTr="00970980">
      <w:trPr>
        <w:trHeight w:val="522"/>
      </w:trPr>
      <w:tc>
        <w:tcPr>
          <w:tcW w:w="918" w:type="dxa"/>
        </w:tcPr>
        <w:p w:rsidR="000E78F9" w:rsidRDefault="00EB3833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0E78F9">
            <w:instrText xml:space="preserve"> PAGE   \* MERGEFORMAT </w:instrText>
          </w:r>
          <w:r>
            <w:fldChar w:fldCharType="separate"/>
          </w:r>
          <w:r w:rsidR="00A34AF7" w:rsidRPr="00A34AF7">
            <w:rPr>
              <w:b/>
              <w:bCs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bCs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0E78F9" w:rsidRDefault="000E78F9">
          <w:pPr>
            <w:pStyle w:val="Footer"/>
          </w:pPr>
        </w:p>
      </w:tc>
    </w:tr>
  </w:tbl>
  <w:p w:rsidR="000E78F9" w:rsidRDefault="000E78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EB" w:rsidRDefault="00D136EB" w:rsidP="00970980">
      <w:pPr>
        <w:spacing w:after="0" w:line="240" w:lineRule="auto"/>
      </w:pPr>
      <w:r>
        <w:separator/>
      </w:r>
    </w:p>
  </w:footnote>
  <w:footnote w:type="continuationSeparator" w:id="0">
    <w:p w:rsidR="00D136EB" w:rsidRDefault="00D136EB" w:rsidP="00970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2EF0"/>
    <w:multiLevelType w:val="hybridMultilevel"/>
    <w:tmpl w:val="DF6A78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86B2E"/>
    <w:multiLevelType w:val="hybridMultilevel"/>
    <w:tmpl w:val="38D26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6281E"/>
    <w:multiLevelType w:val="hybridMultilevel"/>
    <w:tmpl w:val="8DBC1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6D3463"/>
    <w:multiLevelType w:val="hybridMultilevel"/>
    <w:tmpl w:val="CD7227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CB5BB7"/>
    <w:multiLevelType w:val="hybridMultilevel"/>
    <w:tmpl w:val="A89AC7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1FD"/>
    <w:rsid w:val="00060706"/>
    <w:rsid w:val="000A59F2"/>
    <w:rsid w:val="000E78F9"/>
    <w:rsid w:val="00184791"/>
    <w:rsid w:val="001F1B87"/>
    <w:rsid w:val="00207E7C"/>
    <w:rsid w:val="00212FFD"/>
    <w:rsid w:val="00236AC8"/>
    <w:rsid w:val="00275C0B"/>
    <w:rsid w:val="002F609A"/>
    <w:rsid w:val="003165D8"/>
    <w:rsid w:val="00340377"/>
    <w:rsid w:val="00392742"/>
    <w:rsid w:val="004307CD"/>
    <w:rsid w:val="00496FFC"/>
    <w:rsid w:val="004A08AA"/>
    <w:rsid w:val="00506597"/>
    <w:rsid w:val="00667F4B"/>
    <w:rsid w:val="006740C2"/>
    <w:rsid w:val="007251FD"/>
    <w:rsid w:val="00725D10"/>
    <w:rsid w:val="007375BD"/>
    <w:rsid w:val="00760C9B"/>
    <w:rsid w:val="00786688"/>
    <w:rsid w:val="0084274D"/>
    <w:rsid w:val="008951B7"/>
    <w:rsid w:val="008F4A2B"/>
    <w:rsid w:val="00905A85"/>
    <w:rsid w:val="00970980"/>
    <w:rsid w:val="0097428A"/>
    <w:rsid w:val="00A32AEE"/>
    <w:rsid w:val="00A34AF7"/>
    <w:rsid w:val="00AA3A3D"/>
    <w:rsid w:val="00B82CB6"/>
    <w:rsid w:val="00BC5CAC"/>
    <w:rsid w:val="00C473FA"/>
    <w:rsid w:val="00D136EB"/>
    <w:rsid w:val="00E61AA9"/>
    <w:rsid w:val="00E66E64"/>
    <w:rsid w:val="00E76052"/>
    <w:rsid w:val="00E82D99"/>
    <w:rsid w:val="00E82E73"/>
    <w:rsid w:val="00E86325"/>
    <w:rsid w:val="00EB3833"/>
    <w:rsid w:val="00F96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1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47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2D9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0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980"/>
  </w:style>
  <w:style w:type="paragraph" w:styleId="Footer">
    <w:name w:val="footer"/>
    <w:basedOn w:val="Normal"/>
    <w:link w:val="FooterChar"/>
    <w:uiPriority w:val="99"/>
    <w:unhideWhenUsed/>
    <w:rsid w:val="00970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980"/>
  </w:style>
  <w:style w:type="character" w:styleId="FollowedHyperlink">
    <w:name w:val="FollowedHyperlink"/>
    <w:basedOn w:val="DefaultParagraphFont"/>
    <w:uiPriority w:val="99"/>
    <w:semiHidden/>
    <w:unhideWhenUsed/>
    <w:rsid w:val="008951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1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47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2D9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0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980"/>
  </w:style>
  <w:style w:type="paragraph" w:styleId="Footer">
    <w:name w:val="footer"/>
    <w:basedOn w:val="Normal"/>
    <w:link w:val="FooterChar"/>
    <w:uiPriority w:val="99"/>
    <w:unhideWhenUsed/>
    <w:rsid w:val="009709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980"/>
  </w:style>
  <w:style w:type="character" w:styleId="FollowedHyperlink">
    <w:name w:val="FollowedHyperlink"/>
    <w:basedOn w:val="DefaultParagraphFont"/>
    <w:uiPriority w:val="99"/>
    <w:semiHidden/>
    <w:unhideWhenUsed/>
    <w:rsid w:val="008951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sarah\AppData\Local\Microsoft\Windows\Temporary%20Internet%20Files\Content.Outlook\K5T7GAPG\www.dhs.vic.gov.au\for-service-providers\housing-and-homelessness\public-housing\public-housing-policy-and-procedure-manual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housing.vic.gov.au/forms-guid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ousing.vic.gov.a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ousing.vic.gov.au/movable-uni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ousing.vic.gov.au/forms-guide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Longmore</dc:creator>
  <cp:lastModifiedBy>Sarah Longmore</cp:lastModifiedBy>
  <cp:revision>2</cp:revision>
  <dcterms:created xsi:type="dcterms:W3CDTF">2015-06-26T06:55:00Z</dcterms:created>
  <dcterms:modified xsi:type="dcterms:W3CDTF">2015-06-26T06:55:00Z</dcterms:modified>
</cp:coreProperties>
</file>